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sz w:val="32"/>
          <w:szCs w:val="40"/>
          <w:lang w:val="en-US" w:eastAsia="zh-CN"/>
        </w:rPr>
      </w:pPr>
      <w:r>
        <w:rPr>
          <w:rFonts w:hint="eastAsia"/>
          <w:b/>
          <w:bCs/>
          <w:sz w:val="32"/>
          <w:szCs w:val="40"/>
          <w:lang w:val="en-US" w:eastAsia="zh-CN"/>
        </w:rPr>
        <w:t>涡街流量计</w:t>
      </w:r>
    </w:p>
    <w:p>
      <w:pPr>
        <w:rPr>
          <w:rFonts w:hint="eastAsia"/>
        </w:rPr>
      </w:pPr>
      <w:r>
        <w:rPr>
          <w:rFonts w:hint="eastAsia"/>
        </w:rPr>
        <w:t xml:space="preserve"> </w:t>
      </w:r>
      <w:r>
        <w:rPr>
          <w:rFonts w:hint="eastAsia"/>
          <w:lang w:val="en-US" w:eastAsia="zh-CN"/>
        </w:rPr>
        <w:t>1.</w:t>
      </w:r>
      <w:r>
        <w:rPr>
          <w:rFonts w:hint="eastAsia"/>
        </w:rPr>
        <w:t>工作原理</w:t>
      </w:r>
    </w:p>
    <w:p>
      <w:pPr>
        <w:rPr>
          <w:rFonts w:hint="eastAsia"/>
        </w:rPr>
      </w:pPr>
      <w:r>
        <w:rPr>
          <w:rFonts w:hint="eastAsia"/>
        </w:rPr>
        <w:t>智能涡街流量计的基本原理是卡门涡街原理，即“旋涡分离频率与流速成正比”。</w:t>
      </w:r>
    </w:p>
    <w:p>
      <w:pPr>
        <w:rPr>
          <w:rFonts w:hint="eastAsia"/>
        </w:rPr>
      </w:pPr>
      <w:r>
        <w:rPr>
          <w:rFonts w:hint="eastAsia"/>
        </w:rPr>
        <w:t>流量计流通本体直径与仪表的公称口径基本相同，如图一所示，流通本体内插入有一个近似为等腰三角形的柱体，柱体的轴线与被测介质流动方向垂直，底面迎向流体。</w:t>
      </w:r>
    </w:p>
    <w:p>
      <w:pPr>
        <w:rPr>
          <w:rFonts w:hint="eastAsia"/>
        </w:rPr>
      </w:pPr>
      <w:r>
        <w:rPr>
          <w:rFonts w:hint="eastAsia"/>
        </w:rPr>
        <w:t>当被测介质流过柱体时，在柱体两侧交替产生旋涡，旋涡不断产生和分离，在柱体下游便形成了交错排列的两列旋涡即“涡街”。理论分析和实验已证明，旋涡分离的频</w:t>
      </w:r>
    </w:p>
    <w:p>
      <w:pPr>
        <w:rPr>
          <w:rFonts w:hint="eastAsia"/>
        </w:rPr>
      </w:pPr>
      <w:r>
        <w:rPr>
          <w:rFonts w:hint="eastAsia"/>
        </w:rPr>
        <w:t>率与柱侧介质流速成正比。</w:t>
      </w:r>
    </w:p>
    <w:p>
      <w:pPr>
        <w:jc w:val="center"/>
      </w:pPr>
      <w:r>
        <w:drawing>
          <wp:inline distT="0" distB="0" distL="114300" distR="114300">
            <wp:extent cx="1066800" cy="822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066800" cy="822960"/>
                    </a:xfrm>
                    <a:prstGeom prst="rect">
                      <a:avLst/>
                    </a:prstGeom>
                    <a:noFill/>
                    <a:ln>
                      <a:noFill/>
                    </a:ln>
                  </pic:spPr>
                </pic:pic>
              </a:graphicData>
            </a:graphic>
          </wp:inline>
        </w:drawing>
      </w:r>
    </w:p>
    <w:p>
      <w:pPr>
        <w:rPr>
          <w:rFonts w:hint="eastAsia"/>
        </w:rPr>
      </w:pPr>
      <w:r>
        <w:rPr>
          <w:rFonts w:hint="eastAsia"/>
        </w:rPr>
        <w:t>式中：f——柱体侧旋涡分离的频率（Hz）</w:t>
      </w:r>
    </w:p>
    <w:p>
      <w:pPr>
        <w:rPr>
          <w:rFonts w:hint="eastAsia"/>
        </w:rPr>
      </w:pPr>
      <w:r>
        <w:rPr>
          <w:rFonts w:hint="eastAsia"/>
        </w:rPr>
        <w:t>V——柱侧流速（m/s） d——柱体迎流面宽度（m）；</w:t>
      </w:r>
    </w:p>
    <w:p>
      <w:pPr>
        <w:rPr>
          <w:rFonts w:hint="eastAsia"/>
        </w:rPr>
      </w:pPr>
      <w:r>
        <w:rPr>
          <w:rFonts w:hint="eastAsia"/>
        </w:rPr>
        <w:t>Sr——斯特劳哈尔数，是一个取决于柱体断面形状而与流体性质和流速大小基本无关的常数，</w:t>
      </w:r>
    </w:p>
    <w:p>
      <w:pPr>
        <w:rPr>
          <w:rFonts w:hint="eastAsia"/>
        </w:rPr>
      </w:pPr>
      <w:r>
        <w:rPr>
          <w:rFonts w:hint="eastAsia"/>
        </w:rPr>
        <w:t>Sr：0.17～0.18。</w:t>
      </w:r>
    </w:p>
    <w:p>
      <w:pPr>
        <w:jc w:val="center"/>
      </w:pPr>
      <w:r>
        <w:drawing>
          <wp:inline distT="0" distB="0" distL="114300" distR="114300">
            <wp:extent cx="3619500" cy="1359535"/>
            <wp:effectExtent l="0" t="0" r="762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619500" cy="1359535"/>
                    </a:xfrm>
                    <a:prstGeom prst="rect">
                      <a:avLst/>
                    </a:prstGeom>
                    <a:noFill/>
                    <a:ln>
                      <a:noFill/>
                    </a:ln>
                  </pic:spPr>
                </pic:pic>
              </a:graphicData>
            </a:graphic>
          </wp:inline>
        </w:drawing>
      </w:r>
    </w:p>
    <w:p>
      <w:pPr>
        <w:jc w:val="center"/>
        <w:rPr>
          <w:rFonts w:hint="eastAsia"/>
        </w:rPr>
      </w:pPr>
      <w:r>
        <w:rPr>
          <w:rFonts w:hint="eastAsia"/>
        </w:rPr>
        <w:t>图一 圆管内的涡街</w:t>
      </w:r>
    </w:p>
    <w:p>
      <w:pPr>
        <w:rPr>
          <w:rFonts w:hint="eastAsia"/>
        </w:rPr>
      </w:pPr>
      <w:r>
        <w:rPr>
          <w:rFonts w:hint="eastAsia"/>
        </w:rPr>
        <w:t>智能涡街流量计的设计柱宽 d 与流通管直径 D 具有固定的比值，因此，流经管内的平均流速 V 与柱侧</w:t>
      </w:r>
    </w:p>
    <w:p>
      <w:pPr>
        <w:rPr>
          <w:rFonts w:hint="eastAsia"/>
        </w:rPr>
      </w:pPr>
      <w:r>
        <w:rPr>
          <w:rFonts w:hint="eastAsia"/>
        </w:rPr>
        <w:t>流速 V 有固定的比值：</w:t>
      </w:r>
    </w:p>
    <w:p>
      <w:pPr>
        <w:jc w:val="center"/>
        <w:rPr>
          <w:rFonts w:hint="eastAsia"/>
        </w:rPr>
      </w:pPr>
      <w:r>
        <w:drawing>
          <wp:inline distT="0" distB="0" distL="114300" distR="114300">
            <wp:extent cx="2576195" cy="951865"/>
            <wp:effectExtent l="0" t="0" r="146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576195" cy="951865"/>
                    </a:xfrm>
                    <a:prstGeom prst="rect">
                      <a:avLst/>
                    </a:prstGeom>
                    <a:noFill/>
                    <a:ln>
                      <a:noFill/>
                    </a:ln>
                  </pic:spPr>
                </pic:pic>
              </a:graphicData>
            </a:graphic>
          </wp:inline>
        </w:drawing>
      </w:r>
    </w:p>
    <w:p>
      <w:pPr>
        <w:rPr>
          <w:rFonts w:hint="eastAsia"/>
        </w:rPr>
      </w:pPr>
      <w:r>
        <w:rPr>
          <w:rFonts w:hint="eastAsia"/>
        </w:rPr>
        <w:t>由于上式中，d 和 D 都是已知的结构尺寸，而 Sr 是常数，因此测得旋涡分离频率 f，便测得了管内平</w:t>
      </w:r>
    </w:p>
    <w:p>
      <w:pPr>
        <w:rPr>
          <w:rFonts w:hint="eastAsia"/>
        </w:rPr>
      </w:pPr>
      <w:r>
        <w:rPr>
          <w:rFonts w:hint="eastAsia"/>
        </w:rPr>
        <w:t>均流速，从而测得流量 Q：</w:t>
      </w:r>
    </w:p>
    <w:p>
      <w:pPr>
        <w:rPr>
          <w:rFonts w:hint="eastAsia"/>
        </w:rPr>
      </w:pPr>
      <w:r>
        <w:rPr>
          <w:rFonts w:hint="eastAsia"/>
        </w:rPr>
        <w:t>Q=3600F·V （m</w:t>
      </w:r>
    </w:p>
    <w:p>
      <w:pPr>
        <w:rPr>
          <w:rFonts w:hint="eastAsia"/>
        </w:rPr>
      </w:pPr>
      <w:r>
        <w:rPr>
          <w:rFonts w:hint="eastAsia"/>
        </w:rPr>
        <w:t>3 /h）</w:t>
      </w:r>
    </w:p>
    <w:p>
      <w:pPr>
        <w:rPr>
          <w:rFonts w:hint="eastAsia"/>
        </w:rPr>
      </w:pPr>
      <w:r>
        <w:rPr>
          <w:rFonts w:hint="eastAsia"/>
        </w:rPr>
        <w:t>式中：F——流量计流通本体的流通面积（m</w:t>
      </w:r>
    </w:p>
    <w:p>
      <w:pPr>
        <w:rPr>
          <w:rFonts w:hint="eastAsia"/>
        </w:rPr>
      </w:pPr>
      <w:r>
        <w:rPr>
          <w:rFonts w:hint="eastAsia"/>
        </w:rPr>
        <w:t>2 ）</w:t>
      </w:r>
    </w:p>
    <w:p>
      <w:pPr>
        <w:rPr>
          <w:rFonts w:hint="eastAsia"/>
        </w:rPr>
      </w:pPr>
      <w:r>
        <w:rPr>
          <w:rFonts w:hint="eastAsia"/>
        </w:rPr>
        <w:t>V——流量计流通本体的平均流速（m/s）</w:t>
      </w:r>
    </w:p>
    <w:p>
      <w:pPr>
        <w:rPr>
          <w:rFonts w:hint="eastAsia"/>
        </w:rPr>
      </w:pPr>
      <w:r>
        <w:rPr>
          <w:rFonts w:hint="eastAsia"/>
        </w:rPr>
        <w:t>旋涡交错分离，在柱体两侧及柱体后面的尾流中产生脉动的压力，设在柱体内部（或后面）的检测探头受</w:t>
      </w:r>
    </w:p>
    <w:p>
      <w:pPr>
        <w:rPr>
          <w:rFonts w:hint="eastAsia"/>
        </w:rPr>
      </w:pPr>
      <w:r>
        <w:rPr>
          <w:rFonts w:hint="eastAsia"/>
        </w:rPr>
        <w:t>到这种微小的脉动压力的作用，使埋设在探头内的压电晶体元件受到交变应力而产生交变电荷信号。检测</w:t>
      </w:r>
    </w:p>
    <w:p>
      <w:pPr>
        <w:rPr>
          <w:rFonts w:hint="eastAsia"/>
        </w:rPr>
      </w:pPr>
      <w:r>
        <w:rPr>
          <w:rFonts w:hint="eastAsia"/>
        </w:rPr>
        <w:t>放大器将交变电荷信号进行变换、放大、滤波和信号整形处理后，输出频率与旋涡分离频率相同的电流</w:t>
      </w:r>
    </w:p>
    <w:p>
      <w:pPr>
        <w:rPr>
          <w:rFonts w:hint="eastAsia"/>
        </w:rPr>
      </w:pPr>
      <w:r>
        <w:rPr>
          <w:rFonts w:hint="eastAsia"/>
        </w:rPr>
        <w:t>（或电压）脉冲信号。流量计输出的每一个脉冲将代表一定体积的被测流体。一段时间内的输出总脉冲数，</w:t>
      </w:r>
    </w:p>
    <w:p>
      <w:pPr>
        <w:rPr>
          <w:rFonts w:hint="eastAsia"/>
        </w:rPr>
      </w:pPr>
      <w:r>
        <w:rPr>
          <w:rFonts w:hint="eastAsia"/>
        </w:rPr>
        <w:t>将代表这段时间内流过流量计的流体总体积。</w:t>
      </w:r>
    </w:p>
    <w:p>
      <w:pPr>
        <w:rPr>
          <w:rFonts w:hint="eastAsia"/>
        </w:rPr>
      </w:pPr>
      <w:bookmarkStart w:id="0" w:name="_GoBack"/>
      <w:r>
        <w:rPr>
          <w:rFonts w:hint="eastAsia"/>
          <w:lang w:val="en-US" w:eastAsia="zh-CN"/>
        </w:rPr>
        <w:t>2.</w:t>
      </w:r>
      <w:r>
        <w:rPr>
          <w:rFonts w:hint="eastAsia"/>
        </w:rPr>
        <w:t>主要技术参数</w:t>
      </w:r>
    </w:p>
    <w:p>
      <w:pPr>
        <w:rPr>
          <w:rFonts w:hint="eastAsia"/>
        </w:rPr>
      </w:pPr>
      <w:r>
        <w:rPr>
          <w:rFonts w:hint="eastAsia"/>
          <w:lang w:val="en-US" w:eastAsia="zh-CN"/>
        </w:rPr>
        <w:t>连接方式：</w:t>
      </w:r>
      <w:r>
        <w:rPr>
          <w:rFonts w:hint="eastAsia"/>
        </w:rPr>
        <w:t>法兰连接型</w:t>
      </w:r>
    </w:p>
    <w:p>
      <w:pPr>
        <w:rPr>
          <w:rFonts w:hint="eastAsia"/>
        </w:rPr>
      </w:pPr>
      <w:r>
        <w:rPr>
          <w:rFonts w:hint="eastAsia"/>
        </w:rPr>
        <w:t>公称口径</w:t>
      </w:r>
      <w:r>
        <w:rPr>
          <w:rFonts w:hint="eastAsia"/>
          <w:lang w:eastAsia="zh-CN"/>
        </w:rPr>
        <w:t>：</w:t>
      </w:r>
      <w:r>
        <w:rPr>
          <w:rFonts w:hint="eastAsia"/>
        </w:rPr>
        <w:t xml:space="preserve"> DN15-300.(大于 300 口径的可做成插入式)</w:t>
      </w:r>
    </w:p>
    <w:p>
      <w:pPr>
        <w:rPr>
          <w:rFonts w:hint="eastAsia"/>
        </w:rPr>
      </w:pPr>
      <w:r>
        <w:rPr>
          <w:rFonts w:hint="eastAsia"/>
        </w:rPr>
        <w:t>精度等级</w:t>
      </w:r>
      <w:r>
        <w:rPr>
          <w:rFonts w:hint="eastAsia"/>
          <w:lang w:eastAsia="zh-CN"/>
        </w:rPr>
        <w:t>：</w:t>
      </w:r>
      <w:r>
        <w:rPr>
          <w:rFonts w:hint="eastAsia"/>
        </w:rPr>
        <w:t xml:space="preserve"> 测量气体类精度优于±1.5%；液体类精度优于±0.75%；插入式精度优于±2.5%</w:t>
      </w:r>
    </w:p>
    <w:p>
      <w:pPr>
        <w:rPr>
          <w:rFonts w:hint="eastAsia"/>
        </w:rPr>
      </w:pPr>
      <w:r>
        <w:rPr>
          <w:rFonts w:hint="eastAsia"/>
        </w:rPr>
        <w:t>介质温度</w:t>
      </w:r>
      <w:r>
        <w:rPr>
          <w:rFonts w:hint="eastAsia"/>
          <w:lang w:eastAsia="zh-CN"/>
        </w:rPr>
        <w:t>：</w:t>
      </w:r>
      <w:r>
        <w:rPr>
          <w:rFonts w:hint="eastAsia"/>
        </w:rPr>
        <w:t xml:space="preserve"> -40℃~350℃用于测量一般气体、液体、蒸汽</w:t>
      </w:r>
    </w:p>
    <w:p>
      <w:pPr>
        <w:rPr>
          <w:rFonts w:hint="eastAsia"/>
        </w:rPr>
      </w:pPr>
      <w:r>
        <w:rPr>
          <w:rFonts w:hint="eastAsia"/>
        </w:rPr>
        <w:t>本体、漩涡发生体、传感器材质</w:t>
      </w:r>
      <w:r>
        <w:rPr>
          <w:rFonts w:hint="eastAsia"/>
          <w:lang w:eastAsia="zh-CN"/>
        </w:rPr>
        <w:t>：</w:t>
      </w:r>
      <w:r>
        <w:rPr>
          <w:rFonts w:hint="eastAsia"/>
        </w:rPr>
        <w:t>304 材质用于常规测量微腐蚀性介质、316 材质用于腐蚀性或者卫生型介质</w:t>
      </w:r>
    </w:p>
    <w:p>
      <w:pPr>
        <w:rPr>
          <w:rFonts w:hint="eastAsia"/>
        </w:rPr>
      </w:pPr>
      <w:r>
        <w:rPr>
          <w:rFonts w:hint="eastAsia"/>
        </w:rPr>
        <w:t>适用介质</w:t>
      </w:r>
      <w:r>
        <w:rPr>
          <w:rFonts w:hint="eastAsia"/>
          <w:lang w:eastAsia="zh-CN"/>
        </w:rPr>
        <w:t>：</w:t>
      </w:r>
      <w:r>
        <w:rPr>
          <w:rFonts w:hint="eastAsia"/>
        </w:rPr>
        <w:t>气体：空气、氧气、天然气、液化气等各种气体；</w:t>
      </w:r>
    </w:p>
    <w:p>
      <w:pPr>
        <w:ind w:firstLine="1050" w:firstLineChars="500"/>
        <w:rPr>
          <w:rFonts w:hint="eastAsia"/>
        </w:rPr>
      </w:pPr>
      <w:r>
        <w:rPr>
          <w:rFonts w:hint="eastAsia"/>
        </w:rPr>
        <w:t>液体：水、轻油、液化石油、酸液、碱液等各种液体；</w:t>
      </w:r>
    </w:p>
    <w:p>
      <w:pPr>
        <w:ind w:firstLine="1050" w:firstLineChars="500"/>
        <w:rPr>
          <w:rFonts w:hint="eastAsia"/>
        </w:rPr>
      </w:pPr>
      <w:r>
        <w:rPr>
          <w:rFonts w:hint="eastAsia"/>
        </w:rPr>
        <w:t>蒸汽：饱和蒸汽和过热蒸汽；</w:t>
      </w:r>
    </w:p>
    <w:p>
      <w:pPr>
        <w:rPr>
          <w:rFonts w:hint="eastAsia"/>
        </w:rPr>
      </w:pPr>
      <w:r>
        <w:rPr>
          <w:rFonts w:hint="eastAsia"/>
        </w:rPr>
        <w:t>流速范围</w:t>
      </w:r>
      <w:r>
        <w:rPr>
          <w:rFonts w:hint="eastAsia"/>
          <w:lang w:eastAsia="zh-CN"/>
        </w:rPr>
        <w:t>：</w:t>
      </w:r>
      <w:r>
        <w:rPr>
          <w:rFonts w:hint="eastAsia"/>
        </w:rPr>
        <w:t xml:space="preserve"> 气体：5~50m/s；液体：0.5~7m/s</w:t>
      </w:r>
    </w:p>
    <w:p>
      <w:pPr>
        <w:rPr>
          <w:rFonts w:hint="eastAsia"/>
        </w:rPr>
      </w:pPr>
      <w:r>
        <w:rPr>
          <w:rFonts w:hint="eastAsia"/>
        </w:rPr>
        <w:t>重复性</w:t>
      </w:r>
      <w:r>
        <w:rPr>
          <w:rFonts w:hint="eastAsia"/>
          <w:lang w:eastAsia="zh-CN"/>
        </w:rPr>
        <w:t>：</w:t>
      </w:r>
      <w:r>
        <w:rPr>
          <w:rFonts w:hint="eastAsia"/>
        </w:rPr>
        <w:t xml:space="preserve"> ±0.3%</w:t>
      </w:r>
    </w:p>
    <w:p>
      <w:pPr>
        <w:rPr>
          <w:rFonts w:hint="eastAsia"/>
        </w:rPr>
      </w:pPr>
      <w:r>
        <w:rPr>
          <w:rFonts w:hint="eastAsia"/>
        </w:rPr>
        <w:t>压力等级</w:t>
      </w:r>
      <w:r>
        <w:rPr>
          <w:rFonts w:hint="eastAsia"/>
          <w:lang w:val="en-US" w:eastAsia="zh-CN"/>
        </w:rPr>
        <w:t>:</w:t>
      </w:r>
      <w:r>
        <w:rPr>
          <w:rFonts w:hint="eastAsia"/>
        </w:rPr>
        <w:t xml:space="preserve"> 1.6mpa、2.5mpa、4.0mpa、6.3mpa（特殊可订制）</w:t>
      </w:r>
    </w:p>
    <w:p>
      <w:pPr>
        <w:rPr>
          <w:rFonts w:hint="eastAsia"/>
        </w:rPr>
      </w:pPr>
      <w:r>
        <w:rPr>
          <w:rFonts w:hint="eastAsia"/>
        </w:rPr>
        <w:t>防护等级</w:t>
      </w:r>
      <w:r>
        <w:rPr>
          <w:rFonts w:hint="eastAsia"/>
          <w:lang w:val="en-US" w:eastAsia="zh-CN"/>
        </w:rPr>
        <w:t>:</w:t>
      </w:r>
      <w:r>
        <w:rPr>
          <w:rFonts w:hint="eastAsia"/>
        </w:rPr>
        <w:t xml:space="preserve"> IP65、IP67</w:t>
      </w:r>
    </w:p>
    <w:p>
      <w:pPr>
        <w:rPr>
          <w:rFonts w:hint="eastAsia"/>
        </w:rPr>
      </w:pPr>
      <w:r>
        <w:rPr>
          <w:rFonts w:hint="eastAsia"/>
        </w:rPr>
        <w:t>防爆等级</w:t>
      </w:r>
      <w:r>
        <w:rPr>
          <w:rFonts w:hint="eastAsia"/>
          <w:lang w:val="en-US" w:eastAsia="zh-CN"/>
        </w:rPr>
        <w:t>:</w:t>
      </w:r>
      <w:r>
        <w:rPr>
          <w:rFonts w:hint="eastAsia"/>
        </w:rPr>
        <w:t xml:space="preserve"> Exdiict6</w:t>
      </w:r>
    </w:p>
    <w:p>
      <w:pPr>
        <w:rPr>
          <w:rFonts w:hint="eastAsia"/>
        </w:rPr>
      </w:pPr>
      <w:r>
        <w:rPr>
          <w:rFonts w:hint="eastAsia"/>
        </w:rPr>
        <w:t>电气接口</w:t>
      </w:r>
      <w:r>
        <w:rPr>
          <w:rFonts w:hint="eastAsia"/>
          <w:lang w:val="en-US" w:eastAsia="zh-CN"/>
        </w:rPr>
        <w:t>:</w:t>
      </w:r>
      <w:r>
        <w:rPr>
          <w:rFonts w:hint="eastAsia"/>
        </w:rPr>
        <w:t xml:space="preserve"> M20X1.5；NPT1/2</w:t>
      </w:r>
    </w:p>
    <w:p>
      <w:pPr>
        <w:rPr>
          <w:rFonts w:hint="eastAsia"/>
        </w:rPr>
      </w:pPr>
      <w:r>
        <w:rPr>
          <w:rFonts w:hint="eastAsia"/>
        </w:rPr>
        <w:t>供电电压</w:t>
      </w:r>
      <w:r>
        <w:rPr>
          <w:rFonts w:hint="eastAsia"/>
          <w:lang w:val="en-US" w:eastAsia="zh-CN"/>
        </w:rPr>
        <w:t>:</w:t>
      </w:r>
      <w:r>
        <w:rPr>
          <w:rFonts w:hint="eastAsia"/>
        </w:rPr>
        <w:t xml:space="preserve"> 24VDC;3.6VDC</w:t>
      </w:r>
    </w:p>
    <w:p>
      <w:pPr>
        <w:rPr>
          <w:rFonts w:hint="eastAsia"/>
        </w:rPr>
      </w:pPr>
      <w:r>
        <w:rPr>
          <w:rFonts w:hint="eastAsia"/>
        </w:rPr>
        <w:t>输出信号</w:t>
      </w:r>
      <w:r>
        <w:rPr>
          <w:rFonts w:hint="eastAsia"/>
          <w:lang w:val="en-US" w:eastAsia="zh-CN"/>
        </w:rPr>
        <w:t>:</w:t>
      </w:r>
      <w:r>
        <w:rPr>
          <w:rFonts w:hint="eastAsia"/>
        </w:rPr>
        <w:t xml:space="preserve"> 模拟 4-20ma 信号；脉冲；</w:t>
      </w:r>
    </w:p>
    <w:p>
      <w:pPr>
        <w:rPr>
          <w:rFonts w:hint="eastAsia"/>
        </w:rPr>
      </w:pPr>
      <w:r>
        <w:rPr>
          <w:rFonts w:hint="eastAsia"/>
        </w:rPr>
        <w:t>显示</w:t>
      </w:r>
      <w:r>
        <w:rPr>
          <w:rFonts w:hint="eastAsia"/>
          <w:lang w:val="en-US" w:eastAsia="zh-CN"/>
        </w:rPr>
        <w:t>:</w:t>
      </w:r>
      <w:r>
        <w:rPr>
          <w:rFonts w:hint="eastAsia"/>
        </w:rPr>
        <w:t xml:space="preserve"> 无显示；LCD 显示</w:t>
      </w:r>
    </w:p>
    <w:p>
      <w:pPr>
        <w:rPr>
          <w:rFonts w:hint="eastAsia"/>
        </w:rPr>
      </w:pPr>
      <w:r>
        <w:rPr>
          <w:rFonts w:hint="eastAsia"/>
        </w:rPr>
        <w:t>通讯协议</w:t>
      </w:r>
      <w:r>
        <w:rPr>
          <w:rFonts w:hint="eastAsia"/>
          <w:lang w:val="en-US" w:eastAsia="zh-CN"/>
        </w:rPr>
        <w:t>:</w:t>
      </w:r>
      <w:r>
        <w:rPr>
          <w:rFonts w:hint="eastAsia"/>
        </w:rPr>
        <w:t xml:space="preserve"> RS485；HART 协议</w:t>
      </w:r>
    </w:p>
    <w:p>
      <w:pPr>
        <w:rPr>
          <w:rFonts w:hint="eastAsia"/>
        </w:rPr>
      </w:pPr>
      <w:r>
        <w:rPr>
          <w:rFonts w:hint="eastAsia"/>
        </w:rPr>
        <w:t>环境温度</w:t>
      </w:r>
      <w:r>
        <w:rPr>
          <w:rFonts w:hint="eastAsia"/>
          <w:lang w:val="en-US" w:eastAsia="zh-CN"/>
        </w:rPr>
        <w:t>:</w:t>
      </w:r>
      <w:r>
        <w:rPr>
          <w:rFonts w:hint="eastAsia"/>
        </w:rPr>
        <w:t>-40~70℃；</w:t>
      </w:r>
      <w:r>
        <w:rPr>
          <w:rFonts w:hint="eastAsia"/>
        </w:rPr>
        <w:br w:type="textWrapping"/>
      </w:r>
      <w:r>
        <w:rPr>
          <w:rFonts w:hint="eastAsia"/>
        </w:rPr>
        <w:t>相对湿度：5~90%；</w:t>
      </w:r>
    </w:p>
    <w:p>
      <w:pPr>
        <w:rPr>
          <w:rFonts w:hint="eastAsia"/>
        </w:rPr>
      </w:pPr>
      <w:r>
        <w:rPr>
          <w:rFonts w:hint="eastAsia"/>
        </w:rPr>
        <w:t>大气压力：86~106（kpa）</w:t>
      </w:r>
    </w:p>
    <w:bookmarkEnd w:id="0"/>
    <w:p>
      <w:pPr>
        <w:rPr>
          <w:rFonts w:hint="eastAsia"/>
        </w:rPr>
      </w:pPr>
      <w:r>
        <w:drawing>
          <wp:anchor distT="0" distB="0" distL="114300" distR="114300" simplePos="0" relativeHeight="251659264" behindDoc="1" locked="0" layoutInCell="1" allowOverlap="1">
            <wp:simplePos x="0" y="0"/>
            <wp:positionH relativeFrom="column">
              <wp:posOffset>1584960</wp:posOffset>
            </wp:positionH>
            <wp:positionV relativeFrom="paragraph">
              <wp:posOffset>160020</wp:posOffset>
            </wp:positionV>
            <wp:extent cx="2646680" cy="3010535"/>
            <wp:effectExtent l="0" t="0" r="5080" b="6985"/>
            <wp:wrapTight wrapText="bothSides">
              <wp:wrapPolygon>
                <wp:start x="0" y="0"/>
                <wp:lineTo x="0" y="21541"/>
                <wp:lineTo x="21517" y="21541"/>
                <wp:lineTo x="21517"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2646680" cy="3010535"/>
                    </a:xfrm>
                    <a:prstGeom prst="rect">
                      <a:avLst/>
                    </a:prstGeom>
                    <a:noFill/>
                    <a:ln>
                      <a:noFill/>
                    </a:ln>
                  </pic:spPr>
                </pic:pic>
              </a:graphicData>
            </a:graphic>
          </wp:anchor>
        </w:drawing>
      </w:r>
      <w:r>
        <w:rPr>
          <w:rFonts w:hint="eastAsia"/>
          <w:lang w:val="en-US" w:eastAsia="zh-CN"/>
        </w:rPr>
        <w:t>3.</w:t>
      </w:r>
      <w:r>
        <w:rPr>
          <w:rFonts w:hint="eastAsia"/>
        </w:rPr>
        <w:t>仪表结构和安装尺寸</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drawing>
          <wp:inline distT="0" distB="0" distL="114300" distR="114300">
            <wp:extent cx="5151120" cy="298704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151120" cy="2987040"/>
                    </a:xfrm>
                    <a:prstGeom prst="rect">
                      <a:avLst/>
                    </a:prstGeom>
                    <a:noFill/>
                    <a:ln>
                      <a:noFill/>
                    </a:ln>
                  </pic:spPr>
                </pic:pic>
              </a:graphicData>
            </a:graphic>
          </wp:inline>
        </w:drawing>
      </w:r>
    </w:p>
    <w:p>
      <w:pPr>
        <w:numPr>
          <w:ilvl w:val="0"/>
          <w:numId w:val="0"/>
        </w:numPr>
        <w:rPr>
          <w:rFonts w:hint="eastAsia"/>
        </w:rPr>
      </w:pPr>
      <w:r>
        <w:rPr>
          <w:rFonts w:hint="eastAsia"/>
          <w:lang w:val="en-US" w:eastAsia="zh-CN"/>
        </w:rPr>
        <w:t>3.</w:t>
      </w:r>
      <w:r>
        <w:rPr>
          <w:rFonts w:hint="eastAsia"/>
        </w:rPr>
        <w:t>流量计口径确定</w:t>
      </w:r>
    </w:p>
    <w:p>
      <w:pPr>
        <w:numPr>
          <w:ilvl w:val="0"/>
          <w:numId w:val="0"/>
        </w:numPr>
        <w:jc w:val="center"/>
      </w:pPr>
      <w:r>
        <w:drawing>
          <wp:inline distT="0" distB="0" distL="114300" distR="114300">
            <wp:extent cx="4640580" cy="4808220"/>
            <wp:effectExtent l="0" t="0" r="762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4640580" cy="480822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4.接线示意图</w:t>
      </w:r>
    </w:p>
    <w:p>
      <w:pPr>
        <w:numPr>
          <w:ilvl w:val="0"/>
          <w:numId w:val="0"/>
        </w:numPr>
      </w:pPr>
      <w:r>
        <w:drawing>
          <wp:inline distT="0" distB="0" distL="114300" distR="114300">
            <wp:extent cx="5273675" cy="4103370"/>
            <wp:effectExtent l="0" t="0" r="14605" b="1143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73675" cy="4103370"/>
                    </a:xfrm>
                    <a:prstGeom prst="rect">
                      <a:avLst/>
                    </a:prstGeom>
                    <a:noFill/>
                    <a:ln>
                      <a:noFill/>
                    </a:ln>
                  </pic:spPr>
                </pic:pic>
              </a:graphicData>
            </a:graphic>
          </wp:inline>
        </w:drawing>
      </w:r>
      <w:r>
        <w:drawing>
          <wp:inline distT="0" distB="0" distL="114300" distR="114300">
            <wp:extent cx="5185410" cy="2254250"/>
            <wp:effectExtent l="0" t="0" r="11430" b="12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185410" cy="2254250"/>
                    </a:xfrm>
                    <a:prstGeom prst="rect">
                      <a:avLst/>
                    </a:prstGeom>
                    <a:noFill/>
                    <a:ln>
                      <a:noFill/>
                    </a:ln>
                  </pic:spPr>
                </pic:pic>
              </a:graphicData>
            </a:graphic>
          </wp:inline>
        </w:drawing>
      </w:r>
      <w:r>
        <w:drawing>
          <wp:inline distT="0" distB="0" distL="114300" distR="114300">
            <wp:extent cx="5065395" cy="3337560"/>
            <wp:effectExtent l="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5065395" cy="333756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5.菜单操作</w:t>
      </w:r>
    </w:p>
    <w:p>
      <w:pPr>
        <w:numPr>
          <w:ilvl w:val="0"/>
          <w:numId w:val="0"/>
        </w:numPr>
        <w:rPr>
          <w:rFonts w:hint="default"/>
          <w:lang w:val="en-US" w:eastAsia="zh-CN"/>
        </w:rPr>
      </w:pPr>
      <w:r>
        <w:drawing>
          <wp:inline distT="0" distB="0" distL="114300" distR="114300">
            <wp:extent cx="5269230" cy="3554730"/>
            <wp:effectExtent l="0" t="0" r="3810" b="1143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5269230" cy="3554730"/>
                    </a:xfrm>
                    <a:prstGeom prst="rect">
                      <a:avLst/>
                    </a:prstGeom>
                    <a:noFill/>
                    <a:ln>
                      <a:noFill/>
                    </a:ln>
                  </pic:spPr>
                </pic:pic>
              </a:graphicData>
            </a:graphic>
          </wp:inline>
        </w:drawing>
      </w:r>
      <w:r>
        <w:drawing>
          <wp:inline distT="0" distB="0" distL="114300" distR="114300">
            <wp:extent cx="5273675" cy="3026410"/>
            <wp:effectExtent l="0" t="0" r="14605" b="635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5273675" cy="3026410"/>
                    </a:xfrm>
                    <a:prstGeom prst="rect">
                      <a:avLst/>
                    </a:prstGeom>
                    <a:noFill/>
                    <a:ln>
                      <a:noFill/>
                    </a:ln>
                  </pic:spPr>
                </pic:pic>
              </a:graphicData>
            </a:graphic>
          </wp:inline>
        </w:drawing>
      </w:r>
    </w:p>
    <w:sectPr>
      <w:pgSz w:w="11906" w:h="16838"/>
      <w:pgMar w:top="1100" w:right="1800" w:bottom="110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wMDliMDZhNTZjMDU2N2Y3ZjBlZmJiZDJhMDYxZjIifQ=="/>
  </w:docVars>
  <w:rsids>
    <w:rsidRoot w:val="5EB076E9"/>
    <w:rsid w:val="5D1D799A"/>
    <w:rsid w:val="5EB076E9"/>
    <w:rsid w:val="62ED40C1"/>
    <w:rsid w:val="74557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1024</Words>
  <Characters>1183</Characters>
  <Lines>0</Lines>
  <Paragraphs>0</Paragraphs>
  <TotalTime>23</TotalTime>
  <ScaleCrop>false</ScaleCrop>
  <LinksUpToDate>false</LinksUpToDate>
  <CharactersWithSpaces>1225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2022-11-17T06:15:00Z</dcterms:created>
  <dc:creator>燕子</dc:creator>
  <cp:lastModifiedBy>燕子</cp:lastModifiedBy>
  <dcterms:modified xsi:type="dcterms:W3CDTF">2022-11-18T08:39:42Z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A5181957E347435180B1C4A7C34983C6</vt:lpwstr>
  </property>
</Properties>
</file>